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87EB2" w14:textId="6CAD6C6F" w:rsidR="00003527" w:rsidRDefault="00003527" w:rsidP="000035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5425D695" wp14:editId="09CCE4C3">
            <wp:extent cx="3271732" cy="1127489"/>
            <wp:effectExtent l="0" t="0" r="508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5-09-18 alle 10.26.05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640" cy="114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A7FEF" w14:textId="77777777" w:rsidR="00923D26" w:rsidRDefault="00923D26" w:rsidP="00923D2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14:paraId="4D6E77C5" w14:textId="7EC58789" w:rsidR="007D0FB6" w:rsidRPr="007D0FB6" w:rsidRDefault="007D0FB6" w:rsidP="007D0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44"/>
          <w:szCs w:val="44"/>
        </w:rPr>
      </w:pPr>
      <w:r w:rsidRPr="007D0FB6">
        <w:rPr>
          <w:rFonts w:ascii="Arial" w:hAnsi="Arial" w:cs="Arial"/>
          <w:b/>
          <w:bCs/>
          <w:sz w:val="44"/>
          <w:szCs w:val="44"/>
        </w:rPr>
        <w:t>Ente CR Firenze avvia collocamento dello 0,630%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bookmarkStart w:id="0" w:name="_GoBack"/>
      <w:bookmarkEnd w:id="0"/>
      <w:r w:rsidRPr="007D0FB6">
        <w:rPr>
          <w:rFonts w:ascii="Arial" w:hAnsi="Arial" w:cs="Arial"/>
          <w:b/>
          <w:bCs/>
          <w:sz w:val="44"/>
          <w:szCs w:val="44"/>
        </w:rPr>
        <w:t>del capitale sociale di Intesa Sanpaolo</w:t>
      </w:r>
      <w:r>
        <w:rPr>
          <w:rFonts w:ascii="Calibri" w:hAnsi="Calibri" w:cs="Calibri"/>
          <w:b/>
          <w:bCs/>
          <w:sz w:val="30"/>
          <w:szCs w:val="30"/>
        </w:rPr>
        <w:t> </w:t>
      </w:r>
    </w:p>
    <w:p w14:paraId="21F590AB" w14:textId="77777777" w:rsidR="007D0FB6" w:rsidRDefault="007D0FB6" w:rsidP="007D0FB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sz w:val="30"/>
          <w:szCs w:val="30"/>
        </w:rPr>
        <w:t> </w:t>
      </w:r>
    </w:p>
    <w:p w14:paraId="64BBAA43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In ottemperanza alle previsioni del Protocollo di Intesa tra il Ministero dell’Economia e delle Finanze e l’ACRI,  stipulato in data 22 aprile scorso, la fondazione Ente Cassa di Risparmio di Firenze (“ECRF”) – che detiene il  3,245% del capitale ordinario di Intesa Sanpaolo S.p.A. – ha avviato, tramite una procedura di accelerated bookbuilding, il collocamento sul mercato azionario presso investitori istituzionali italiani ed esteri di massime complessive n. 100.000.000  di azioni ordinarie di Intesa Sanpaolo S.p.A., pari a circa lo 0,630% del capitale sociale ordinario.</w:t>
      </w:r>
    </w:p>
    <w:p w14:paraId="0E7FCABF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 </w:t>
      </w:r>
    </w:p>
    <w:p w14:paraId="5791C545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L’operazione è curata da Goldman Sachs International in qualità di Sole Bookrunner.</w:t>
      </w:r>
    </w:p>
    <w:p w14:paraId="0E49D7A3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 </w:t>
      </w:r>
    </w:p>
    <w:p w14:paraId="41E24D73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L’attività di bookbuilding avrà inizio immediatamente e potrà essere conclusa in qualsiasi momento. I termini finali verranno tempestivamente comunicati al mercato.</w:t>
      </w:r>
    </w:p>
    <w:p w14:paraId="21C20853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 </w:t>
      </w:r>
    </w:p>
    <w:p w14:paraId="2BC61FEF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La liquidità che si renderà disponibile con questa operazione verrà reinvestita da ECRF al fine di garantire la redditività necessaria per mantenere un adeguato supporto alla sua attività istituzionale a favore del territorio.</w:t>
      </w:r>
    </w:p>
    <w:p w14:paraId="6AC3EE1C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 </w:t>
      </w:r>
    </w:p>
    <w:p w14:paraId="7992A3A7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In linea con la prassi di mercato per operazioni similari, ECRF ha altresì assunto nei confronti del Sole Bookrunner un impegno di lock-up per un periodo di 30 giorni riguardante le azioni complessivamente detenute in Intesa Sanpaolo al termine dell’operazione</w:t>
      </w:r>
      <w:r w:rsidRPr="007D0FB6">
        <w:rPr>
          <w:rFonts w:ascii="Arial" w:hAnsi="Arial" w:cs="Arial"/>
          <w:color w:val="18376A"/>
        </w:rPr>
        <w:t>.</w:t>
      </w:r>
    </w:p>
    <w:p w14:paraId="099D24B3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 </w:t>
      </w:r>
    </w:p>
    <w:p w14:paraId="6C959136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Nextam Partners SIM S.p.A. ha agito in qualità di consulente finanziario di ECRF.</w:t>
      </w:r>
    </w:p>
    <w:p w14:paraId="40F0A892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 </w:t>
      </w:r>
    </w:p>
    <w:p w14:paraId="6B7FCEDD" w14:textId="77777777" w:rsidR="007D0FB6" w:rsidRPr="007D0FB6" w:rsidRDefault="007D0FB6" w:rsidP="007D0F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D0FB6">
        <w:rPr>
          <w:rFonts w:ascii="Arial" w:hAnsi="Arial" w:cs="Arial"/>
        </w:rPr>
        <w:t>Firenze,</w:t>
      </w:r>
      <w:r w:rsidRPr="007D0FB6">
        <w:rPr>
          <w:rFonts w:ascii="Arial" w:hAnsi="Arial" w:cs="Arial"/>
          <w:color w:val="18376A"/>
        </w:rPr>
        <w:t xml:space="preserve"> </w:t>
      </w:r>
      <w:r w:rsidRPr="007D0FB6">
        <w:rPr>
          <w:rFonts w:ascii="Arial" w:hAnsi="Arial" w:cs="Arial"/>
        </w:rPr>
        <w:t>4 agosto 2015</w:t>
      </w:r>
    </w:p>
    <w:p w14:paraId="334E5359" w14:textId="212FEEB8" w:rsidR="00C07EB6" w:rsidRPr="007D0FB6" w:rsidRDefault="007D0FB6" w:rsidP="007D0FB6">
      <w:r w:rsidRPr="007D0FB6">
        <w:rPr>
          <w:rFonts w:ascii="Arial" w:hAnsi="Arial" w:cs="Arial"/>
        </w:rPr>
        <w:t>Riccardo Galli</w:t>
      </w:r>
      <w:r w:rsidRPr="007D0FB6">
        <w:rPr>
          <w:rFonts w:ascii="MS Mincho" w:eastAsia="MS Mincho" w:hAnsi="MS Mincho" w:cs="MS Mincho"/>
        </w:rPr>
        <w:t> </w:t>
      </w:r>
      <w:r w:rsidRPr="007D0FB6">
        <w:rPr>
          <w:rFonts w:ascii="Arial" w:hAnsi="Arial" w:cs="Arial"/>
        </w:rPr>
        <w:t>Responsabile Ufficio Stampa Ente Cassa di Risparmio di Firenze</w:t>
      </w:r>
      <w:r w:rsidRPr="007D0FB6">
        <w:rPr>
          <w:rFonts w:ascii="MS Mincho" w:eastAsia="MS Mincho" w:hAnsi="MS Mincho" w:cs="MS Mincho"/>
        </w:rPr>
        <w:t> </w:t>
      </w:r>
      <w:r w:rsidRPr="007D0FB6">
        <w:rPr>
          <w:rFonts w:ascii="Arial" w:hAnsi="Arial" w:cs="Arial"/>
        </w:rPr>
        <w:t>Via Bufalini, 6 – 50122 Firenze tel. 0555384503 – cell. 3351597460</w:t>
      </w:r>
      <w:r w:rsidRPr="007D0FB6">
        <w:rPr>
          <w:rFonts w:ascii="MS Mincho" w:eastAsia="MS Mincho" w:hAnsi="MS Mincho" w:cs="MS Mincho"/>
        </w:rPr>
        <w:t> </w:t>
      </w:r>
      <w:hyperlink r:id="rId5" w:history="1">
        <w:r w:rsidRPr="007D0FB6">
          <w:rPr>
            <w:rFonts w:ascii="Arial" w:hAnsi="Arial" w:cs="Arial"/>
            <w:color w:val="0000FF"/>
            <w:u w:val="single" w:color="0000FF"/>
          </w:rPr>
          <w:t>riccardo.galli@entecarifirenze.it</w:t>
        </w:r>
      </w:hyperlink>
    </w:p>
    <w:sectPr w:rsidR="00C07EB6" w:rsidRPr="007D0FB6" w:rsidSect="008D79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FB"/>
    <w:rsid w:val="0000166C"/>
    <w:rsid w:val="00003527"/>
    <w:rsid w:val="00044C37"/>
    <w:rsid w:val="0039797A"/>
    <w:rsid w:val="005639C6"/>
    <w:rsid w:val="005E55B1"/>
    <w:rsid w:val="005E6B0A"/>
    <w:rsid w:val="007D0FB6"/>
    <w:rsid w:val="008D791A"/>
    <w:rsid w:val="00923D26"/>
    <w:rsid w:val="00AD0F0A"/>
    <w:rsid w:val="00D85C23"/>
    <w:rsid w:val="00DD05FB"/>
    <w:rsid w:val="00F64DC9"/>
    <w:rsid w:val="00FB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4DC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iccardo.galli@entecarifirenz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Bertolani</dc:creator>
  <cp:keywords/>
  <dc:description/>
  <cp:lastModifiedBy>Alessio Bertolani</cp:lastModifiedBy>
  <cp:revision>2</cp:revision>
  <dcterms:created xsi:type="dcterms:W3CDTF">2015-09-18T09:12:00Z</dcterms:created>
  <dcterms:modified xsi:type="dcterms:W3CDTF">2015-09-18T09:12:00Z</dcterms:modified>
</cp:coreProperties>
</file>